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37" w:rsidRDefault="00CC2B37" w:rsidP="00703B69">
      <w:pPr>
        <w:jc w:val="center"/>
        <w:rPr>
          <w:rFonts w:eastAsia="Times New Roman" w:cs="Times New Roman"/>
          <w:b/>
          <w:noProof/>
          <w:sz w:val="30"/>
          <w:szCs w:val="30"/>
          <w:lang w:eastAsia="ru-RU"/>
        </w:rPr>
      </w:pPr>
      <w:r>
        <w:rPr>
          <w:rFonts w:eastAsia="Times New Roman" w:cs="Times New Roman"/>
          <w:b/>
          <w:noProof/>
          <w:sz w:val="30"/>
          <w:szCs w:val="30"/>
          <w:lang w:eastAsia="ru-RU"/>
        </w:rPr>
        <w:t>Для чего проводится психосоциальное анкетирование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Сложившаяся в Республике Беларусь ситуация, связанная с распространенностью употребления алкоголя, наркотических и психотропных веществ и их аналогов (далее – ПАВ) подростками и молодежью, объясняет актуальность проблемы осознания обществом в целом и педагогической общественностью в частности необходимости своевременного выявления обучающихся, имеющих риск формирования зависимого поведения, с целью оказания им своевременной и необходимой помощи и поддержки.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Согласно Концепции непрерывного воспитания детей и учащейся молодежи, одной из приоритетных задач, стоящих перед системой образования, является формирование психологической устойчивости к зависимым формам поведения и антинаркотического барьера как отрицательного отношения к употреблению ПАВ [1].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Специалисты правоохранительных органов и здравоохранения критерием склонности индивида к формированию химической зависимости считают личный опыт потребления ПАВ. Перед системой образования поставлена задача – выявить склонность к формированию химической зависимости у обучающихся до момента первой пробы ПАВ.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С этой целью рекомендуется проведение психосоциального анкетирования обучающихся на предмет употребления ПАВ, начиная с 11-летнего возраста.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Аддиктивное поведение (addiction – пристрастие, пагубная привычка, порочная склонность) – одна из форм деструктивного поведения,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внимания на определенных предметах или активностях (видах деятельности), что сопровождается развитием интенсивных эмоций.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Химическая зависимость – синдром, сочетающий физиологические, поведенческие и когнитивные явления, при котором употребление вещества или класса веществ начинает занимать первое место в системе ценностей индивида. Основной характеристикой синдрома химической зависимости является потребность (часто сильная, иногда непреодолимая) принять психоактивное вещество для достижения 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lastRenderedPageBreak/>
        <w:t>состояния психического комфорта. Синдром выражается в постоянных мыслях о психоактивном веществе, подавленности, подъеме настроения в предвкушении его приема.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Психоактивные вещества – различные по химической структуре и предназначению средства промышленной и бытовой химии, медицинские препараты, пищевые продукты и многие другие вещества, при попадании в организм способные влиять на психические функции головного мозга человека, т.е. изменять настроение, поведение, память, восприятие реальной действительности.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Склонность – избирательная направленность индивида на определенную деятельность, побуждающая ею заниматься. Ее основой является глубокая устойчивая потребность индивида в той или иной деятельности, стремление совершенствовать умения и навыки, связанные с данной деятельностью.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Первичная профилактика – это действия, направленные на недопущение первых проб, предупреждение распространения потребления ПАВ. Включает раннее выявление лиц имеющих риск формирования зависимого поведения, мотивационное консультирование детей и подростков, направленное на изменение дезадаптивных форм поведения, семейное консультирование.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Вторичная профилактика – действия, направленные на предупреждение формирования заболевания у лиц, имеющих эпизоды злоупотребления ПАВ. Включает формирование у несовершеннолетних мотивации к обращению за наркологической медицинской помощью.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Известно, что на формирование зависимого поведения индивида влияет комплекс факторов – биологических, психологических, социальных. Так как биологический риск может быть выявлен специалистами здравоохранения, для системы образования важным становится выявление психологического и социального (семейного, ближайшего окружения, образовательного) факторов риска. Приведем их обзор: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•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tab/>
        <w:t xml:space="preserve">психологический фактор риска: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поведенческий (недостаток самоконтроля; проблемы (трудности) в межличностном общении; чрезмерная критичность и агрессивность в отношении окружающих; неспособность к принятию решений; склонность к рискованному поведению; привычка уклоняться от 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lastRenderedPageBreak/>
        <w:t>жизненных трудностей; деструктивные стратегии копинг-поведения; личный опыт проб ПАВ);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мотивационно-потребностный (любопытство; высокая потребность в поиске ощущений; разрыв между высоким уровнем притязаний и возможностью их реализации);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эмоциональный (низкая фрустрационная толерантность; тревожно-мнительные черты характера; частое и длительное пребывание в депрессивных состояниях; гедонистическая установка по отношению к ожидаемым эмоциональным переживаниям; стремление избегать нежелательных эмоциональных состояний и скуки; импульсивность, нарушения привязанности; алекситимия);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характерологический (неустойчивый, эпилептоидный и гипертимный типы акцентуаций характера);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когнитивный (проблема интересов; низкий интеллектуальный уровень; высокий интеллектуальный уровень);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- Я-концепция (неадекватная самооценка; низкое самоуважение; комплекс неполноценности);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•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tab/>
        <w:t xml:space="preserve">семейный: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в области реализации семейных функций (отсутствие согласованных семейных ценностей и целей, ясных социальных норм и правил; насилие в семье; снижение функции социального контроля; неуважительные, взаимоотвергающие отношения в семье; невовлеченность членов семьи в жизнь друг друга, отсутствие общих интересов, увлечений);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 xml:space="preserve">- в области супружеских взаимоотношений (затяжные, стойкие конфликты между родителями; втягивание ребенка в супружеские конфликты); 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- в области родительско-детских отношений (гипер- и гипопротекция; недостаточность и противоречивость требований, предъявляемых к подростку; неустойчивость и противоречивость стиля воспитания; конфликтность отношений, отсутствие доверия и сотрудничества, директивность и вспыльчивость; низкий авторитет родителей в глазах подростка; чрезмерная концентрация родителей на ребенке либо дистанцирование от него; недостаточная или патологическая привязанность, неадекватный контроль за ребенком);</w:t>
      </w:r>
    </w:p>
    <w:p w:rsidR="00CC2B37" w:rsidRPr="00CC2B37" w:rsidRDefault="00CC2B37" w:rsidP="00703B69">
      <w:pPr>
        <w:spacing w:after="0"/>
        <w:ind w:firstLine="567"/>
        <w:jc w:val="both"/>
        <w:rPr>
          <w:rFonts w:eastAsia="Times New Roman" w:cs="Times New Roman"/>
          <w:noProof/>
          <w:sz w:val="30"/>
          <w:szCs w:val="30"/>
          <w:lang w:eastAsia="ru-RU"/>
        </w:rPr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lastRenderedPageBreak/>
        <w:t>•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tab/>
        <w:t>ближайшего окружения (наличие в ближайшем окружении подростка лиц, употребляющих ПАВ или лиц с девиантным поведением; одобрение наркотизации в ближайшем окружении подростка; отчуждение или конфликтные отношения со сверстниками; принадлежность к «отвергнутым», пребывание в группе, где упо</w:t>
      </w:r>
      <w:bookmarkStart w:id="0" w:name="_GoBack"/>
      <w:bookmarkEnd w:id="0"/>
      <w:r w:rsidRPr="00CC2B37">
        <w:rPr>
          <w:rFonts w:eastAsia="Times New Roman" w:cs="Times New Roman"/>
          <w:noProof/>
          <w:sz w:val="30"/>
          <w:szCs w:val="30"/>
          <w:lang w:eastAsia="ru-RU"/>
        </w:rPr>
        <w:t>требляют ПАВ);</w:t>
      </w:r>
    </w:p>
    <w:p w:rsidR="0004013D" w:rsidRPr="00CC2B37" w:rsidRDefault="00CC2B37" w:rsidP="00703B69">
      <w:pPr>
        <w:spacing w:after="0"/>
        <w:ind w:firstLine="567"/>
        <w:jc w:val="both"/>
      </w:pPr>
      <w:r w:rsidRPr="00CC2B37">
        <w:rPr>
          <w:rFonts w:eastAsia="Times New Roman" w:cs="Times New Roman"/>
          <w:noProof/>
          <w:sz w:val="30"/>
          <w:szCs w:val="30"/>
          <w:lang w:eastAsia="ru-RU"/>
        </w:rPr>
        <w:t>•</w:t>
      </w:r>
      <w:r w:rsidRPr="00CC2B37">
        <w:rPr>
          <w:rFonts w:eastAsia="Times New Roman" w:cs="Times New Roman"/>
          <w:noProof/>
          <w:sz w:val="30"/>
          <w:szCs w:val="30"/>
          <w:lang w:eastAsia="ru-RU"/>
        </w:rPr>
        <w:tab/>
        <w:t>образовательный (хроническая академическая неуспеваемость; конфликтные отношения с педагогами и сверстниками; частая смена учреждений образования; общественная пассивность; частые прогулы, пропуски занятий) [2].</w:t>
      </w:r>
    </w:p>
    <w:sectPr w:rsidR="0004013D" w:rsidRPr="00CC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D"/>
    <w:rsid w:val="0004013D"/>
    <w:rsid w:val="001168ED"/>
    <w:rsid w:val="00703B69"/>
    <w:rsid w:val="00AF7B69"/>
    <w:rsid w:val="00C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B6C6-E7A9-40C9-92B4-6F266EA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5477</Characters>
  <Application>Microsoft Office Word</Application>
  <DocSecurity>0</DocSecurity>
  <Lines>45</Lines>
  <Paragraphs>12</Paragraphs>
  <ScaleCrop>false</ScaleCrop>
  <Company>Home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5</cp:revision>
  <dcterms:created xsi:type="dcterms:W3CDTF">2016-10-24T09:41:00Z</dcterms:created>
  <dcterms:modified xsi:type="dcterms:W3CDTF">2016-10-24T12:47:00Z</dcterms:modified>
</cp:coreProperties>
</file>